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20DB6">
      <w:pPr>
        <w:spacing w:before="0"/>
        <w:ind w:right="0"/>
        <w:jc w:val="left"/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附件：</w:t>
      </w:r>
    </w:p>
    <w:p w14:paraId="359CC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right="0"/>
        <w:jc w:val="center"/>
        <w:textAlignment w:val="auto"/>
        <w:rPr>
          <w:rFonts w:hint="eastAsia" w:ascii="方正小标宋简体" w:hAnsi="Calibri" w:eastAsia="方正小标宋简体" w:cs="Times New Roman"/>
          <w:color w:val="000000"/>
          <w:sz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000000"/>
          <w:sz w:val="36"/>
          <w:lang w:val="en-US" w:eastAsia="zh-Hans"/>
        </w:rPr>
        <w:t>三湘</w:t>
      </w:r>
      <w:r>
        <w:rPr>
          <w:rFonts w:hint="eastAsia" w:ascii="方正小标宋简体" w:hAnsi="Calibri" w:eastAsia="方正小标宋简体" w:cs="Times New Roman"/>
          <w:color w:val="000000"/>
          <w:sz w:val="36"/>
        </w:rPr>
        <w:t>集团</w:t>
      </w:r>
      <w:r>
        <w:rPr>
          <w:rFonts w:hint="eastAsia" w:ascii="方正小标宋简体" w:hAnsi="Calibri" w:eastAsia="方正小标宋简体" w:cs="Times New Roman"/>
          <w:color w:val="000000"/>
          <w:sz w:val="36"/>
          <w:lang w:val="en-US" w:eastAsia="zh-CN"/>
        </w:rPr>
        <w:t>2025年公开招聘财务管理</w:t>
      </w:r>
    </w:p>
    <w:p w14:paraId="1A584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right="0"/>
        <w:jc w:val="center"/>
        <w:textAlignment w:val="auto"/>
        <w:rPr>
          <w:rFonts w:hint="eastAsia" w:ascii="方正小标宋简体" w:hAnsi="Calibri" w:eastAsia="方正小标宋简体" w:cs="Times New Roman"/>
          <w:color w:val="000000"/>
          <w:sz w:val="36"/>
        </w:rPr>
      </w:pPr>
      <w:r>
        <w:rPr>
          <w:rFonts w:hint="eastAsia" w:ascii="方正小标宋简体" w:hAnsi="Calibri" w:eastAsia="方正小标宋简体" w:cs="Times New Roman"/>
          <w:color w:val="000000"/>
          <w:sz w:val="36"/>
        </w:rPr>
        <w:t>岗位任职资格和岗位职责</w:t>
      </w:r>
    </w:p>
    <w:tbl>
      <w:tblPr>
        <w:tblStyle w:val="3"/>
        <w:tblW w:w="9557" w:type="dxa"/>
        <w:tblInd w:w="-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67"/>
        <w:gridCol w:w="436"/>
        <w:gridCol w:w="601"/>
        <w:gridCol w:w="504"/>
        <w:gridCol w:w="3273"/>
        <w:gridCol w:w="3840"/>
      </w:tblGrid>
      <w:tr w14:paraId="11A0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C3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318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F5E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2CB0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7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78D5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C9F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C3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41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主要工作职责</w:t>
            </w:r>
          </w:p>
        </w:tc>
      </w:tr>
      <w:tr w14:paraId="021C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6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综合管理部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5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1.教育背景：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会计、财务或相关专业本科及以上学历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持有HKICPA/ACCA等专业资格者优先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2.工作经验：至少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年财务工作经验，熟悉香港会计准则及税务法规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3.技能要求： 熟练使用办公软件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及一般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财务软件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。能独立完成从记账到报表、从报税到审计的整个财务循环。</w:t>
            </w:r>
          </w:p>
          <w:p w14:paraId="2463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4.语言要求：具有较强的英文和中文（包括普通话和粤语）口语和书写能力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5.个人素质：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极高的诚信度和职业道德，能够处理敏感和保密信息。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工作细致认真，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积极主动，责任心极强。出色的沟通能力和解决问题的能力，能够高效地与内外部各方沟通。</w:t>
            </w:r>
          </w:p>
          <w:p w14:paraId="0AC2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 xml:space="preserve">.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：无刑事犯罪纪录或不良出入境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等。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负责业务会计核算及账务处理工作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1E0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管理业务资金收支，包括日常出纳操作及银行往来业务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CAC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编制香港业务财务报表及税务申报档；与税务代表、审计师、评估师和税务局（IRD）联络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0F6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处理其他财务工作，包括但不限于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工资核准和强积金供款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及安排妥善归档和维护会计记录。</w:t>
            </w:r>
          </w:p>
          <w:p w14:paraId="2003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Calibri" w:hAnsi="Calibri" w:eastAsia="宋体" w:cs="Times New Roman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确保业务运作及财务操作符合本地会计准则及监管要求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协助优化公司业务财务流程及内部控制体系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完成领导交办的其他工作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3B744ECC">
      <w:pPr>
        <w:spacing w:line="579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C18104C">
      <w:pPr>
        <w:spacing w:line="579" w:lineRule="exact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4F1CE60"/>
    <w:p w14:paraId="6829C0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C2D40"/>
    <w:rsid w:val="7A2C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of figures1"/>
    <w:basedOn w:val="1"/>
    <w:next w:val="1"/>
    <w:qFormat/>
    <w:uiPriority w:val="0"/>
    <w:pPr>
      <w:ind w:left="4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2025-10-17T00:45:00Z</dcterms:created>
  <dc:creator>彭艳丽</dc:creator>
  <cp:lastModifiedBy>彭艳丽</cp:lastModifiedBy>
  <dcterms:modified xsi:type="dcterms:W3CDTF">2025-10-17T00:45:28Z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A5996762185649F381ED884CDDFE0466_11</vt:lpwstr>
  </property>
  <property fmtid="{D5CDD505-2E9C-101B-9397-08002B2CF9AE}" pid="4" name="KSOTemplateDocerSaveRecord">
    <vt:lpwstr>eyJoZGlkIjoiMDk3NjM3MmJkOTRhNjQxMjUwNDE2Zjg4NDM5MTU2M2QiLCJ1c2VySWQiOiI1OTAyMzcxNjUifQ==</vt:lpwstr>
  </property>
</Properties>
</file>